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right"/>
        <w:rPr/>
      </w:pPr>
      <w:r>
        <w:rPr/>
      </w:r>
    </w:p>
    <w:p>
      <w:pPr>
        <w:pStyle w:val="Normal"/>
        <w:spacing w:before="0" w:after="0"/>
        <w:ind w:firstLine="709"/>
        <w:contextualSpacing/>
        <w:rPr/>
      </w:pPr>
      <w:r>
        <w:rPr>
          <w:b/>
          <w:sz w:val="20"/>
        </w:rPr>
        <w:t xml:space="preserve">                                       </w:t>
      </w:r>
      <w:r>
        <w:rPr/>
        <w:drawing>
          <wp:inline distT="0" distB="0" distL="0" distR="0">
            <wp:extent cx="1158240" cy="1135380"/>
            <wp:effectExtent l="0" t="0" r="0" b="0"/>
            <wp:docPr id="1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9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</w:t>
      </w:r>
      <w:r>
        <w:rPr/>
        <mc:AlternateContent>
          <mc:Choice Requires="wps">
            <w:drawing>
              <wp:inline distT="0" distB="3810" distL="0" distR="4445">
                <wp:extent cx="1044575" cy="1044575"/>
                <wp:effectExtent l="0" t="0" r="4445" b="3810"/>
                <wp:docPr id="2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blipFill rotWithShape="0">
                          <a:blip r:embed="rId3"/>
                          <a:stretch>
                            <a:fillRect l="10834" t="4133" r="12503" b="7507"/>
                          </a:stretch>
                        </a:blip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ID="Picture 2" stroked="f" style="position:absolute;margin-left:0pt;margin-top:-82.55pt;width:82.15pt;height:82.15pt;mso-position-vertical:top">
                <w10:wrap type="none"/>
                <v:imagedata r:id="rId3" o:detectmouseclick="t"/>
                <v:stroke color="#3465a4" weight="9360" joinstyle="miter" endcap="flat"/>
              </v:oval>
            </w:pict>
          </mc:Fallback>
        </mc:AlternateContent>
      </w:r>
      <w:r>
        <w:rPr/>
        <w:t xml:space="preserve">    </w:t>
      </w:r>
      <w:r>
        <w:rPr/>
        <w:drawing>
          <wp:inline distT="0" distB="0" distL="0" distR="0">
            <wp:extent cx="1165860" cy="1127760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firstLine="709"/>
        <w:contextualSpacing/>
        <w:jc w:val="center"/>
        <w:rPr>
          <w:sz w:val="10"/>
        </w:rPr>
      </w:pPr>
      <w:r>
        <w:rPr>
          <w:sz w:val="10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center"/>
        <w:rPr>
          <w:b/>
          <w:b/>
          <w:sz w:val="28"/>
        </w:rPr>
      </w:pPr>
      <w:r>
        <w:rPr>
          <w:b/>
          <w:sz w:val="28"/>
        </w:rPr>
        <w:t>Общество с ограниченной ответственностью</w:t>
      </w:r>
    </w:p>
    <w:p>
      <w:pPr>
        <w:pStyle w:val="Normal"/>
        <w:spacing w:before="0" w:after="0"/>
        <w:ind w:firstLine="709"/>
        <w:contextualSpacing/>
        <w:jc w:val="center"/>
        <w:rPr>
          <w:b/>
          <w:b/>
          <w:sz w:val="28"/>
        </w:rPr>
      </w:pPr>
      <w:r>
        <w:rPr>
          <w:b/>
          <w:sz w:val="28"/>
        </w:rPr>
        <w:t>Центр аудита и охраны труда «Лидер»</w:t>
      </w:r>
    </w:p>
    <w:p>
      <w:pPr>
        <w:pStyle w:val="Normal"/>
        <w:spacing w:before="0" w:after="0"/>
        <w:ind w:firstLine="709"/>
        <w:contextualSpacing/>
        <w:jc w:val="center"/>
        <w:rPr>
          <w:b/>
          <w:b/>
          <w:sz w:val="32"/>
        </w:rPr>
      </w:pPr>
      <w:r>
        <w:rPr>
          <w:b/>
          <w:sz w:val="28"/>
        </w:rPr>
        <w:t>(ООО ЦАОТ «Лидер»)</w:t>
      </w:r>
    </w:p>
    <w:p>
      <w:pPr>
        <w:pStyle w:val="Normal"/>
        <w:spacing w:before="0" w:after="0"/>
        <w:ind w:right="-465" w:firstLine="709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both"/>
        <w:rPr>
          <w:b/>
          <w:b/>
        </w:rPr>
      </w:pPr>
      <w:r>
        <w:rPr>
          <w:b/>
        </w:rPr>
        <w:t xml:space="preserve">Государственная аккредитация № РООС </w:t>
      </w:r>
      <w:r>
        <w:rPr>
          <w:b/>
          <w:lang w:val="en-US"/>
        </w:rPr>
        <w:t>RU</w:t>
      </w:r>
      <w:r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>
      <w:pPr>
        <w:pStyle w:val="Normal"/>
        <w:spacing w:before="0" w:after="0"/>
        <w:contextualSpacing/>
        <w:jc w:val="both"/>
        <w:rPr>
          <w:b/>
          <w:b/>
        </w:rPr>
      </w:pPr>
      <w:r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>
      <w:pPr>
        <w:pStyle w:val="Normal"/>
        <w:tabs>
          <w:tab w:val="clear" w:pos="708"/>
          <w:tab w:val="left" w:pos="1843" w:leader="underscore"/>
          <w:tab w:val="left" w:pos="3261" w:leader="none"/>
        </w:tabs>
        <w:rPr>
          <w:b/>
          <w:b/>
        </w:rPr>
      </w:pPr>
      <w:r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>
      <w:pPr>
        <w:pStyle w:val="Normal"/>
        <w:spacing w:before="0" w:after="0"/>
        <w:contextualSpacing/>
        <w:jc w:val="both"/>
        <w:rPr>
          <w:b/>
          <w:b/>
        </w:rPr>
      </w:pPr>
      <w:r>
        <w:rPr>
          <w:b/>
        </w:rPr>
        <w:t>Входит в состав рабочей группы по Трудовому Законодательству Верховного Суда РФ</w:t>
      </w:r>
    </w:p>
    <w:p>
      <w:pPr>
        <w:pStyle w:val="Normal"/>
        <w:spacing w:before="0" w:after="0"/>
        <w:contextualSpacing/>
        <w:jc w:val="both"/>
        <w:rPr>
          <w:b/>
          <w:b/>
        </w:rPr>
      </w:pPr>
      <w:r>
        <w:rPr>
          <w:b/>
        </w:rPr>
        <w:t>Член Национального Союза Кадровиков России</w:t>
      </w:r>
    </w:p>
    <w:tbl>
      <w:tblPr>
        <w:tblW w:w="10206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919"/>
        <w:gridCol w:w="4286"/>
      </w:tblGrid>
      <w:tr>
        <w:trPr>
          <w:trHeight w:val="1056" w:hRule="atLeast"/>
        </w:trPr>
        <w:tc>
          <w:tcPr>
            <w:tcW w:w="5919" w:type="dxa"/>
            <w:tcBorders/>
          </w:tcPr>
          <w:p>
            <w:pPr>
              <w:pStyle w:val="Normal"/>
              <w:tabs>
                <w:tab w:val="clear" w:pos="708"/>
                <w:tab w:val="left" w:pos="1843" w:leader="underscore"/>
                <w:tab w:val="left" w:pos="3261" w:leader="none"/>
              </w:tabs>
              <w:spacing w:before="120" w:after="0"/>
              <w:ind w:hanging="100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286" w:type="dxa"/>
            <w:tcBorders/>
          </w:tcPr>
          <w:p>
            <w:pPr>
              <w:pStyle w:val="Normal"/>
              <w:tabs>
                <w:tab w:val="clear" w:pos="708"/>
                <w:tab w:val="left" w:pos="5625" w:leader="none"/>
                <w:tab w:val="left" w:pos="6345" w:leader="none"/>
              </w:tabs>
              <w:ind w:right="738" w:hanging="0"/>
              <w:rPr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Normal"/>
              <w:tabs>
                <w:tab w:val="clear" w:pos="708"/>
                <w:tab w:val="left" w:pos="5625" w:leader="none"/>
                <w:tab w:val="left" w:pos="6345" w:leader="none"/>
              </w:tabs>
              <w:ind w:right="738" w:hanging="0"/>
              <w:rPr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ind w:firstLine="709"/>
        <w:jc w:val="both"/>
        <w:outlineLvl w:val="1"/>
        <w:rPr>
          <w:b/>
          <w:b/>
          <w:bCs/>
          <w:iCs/>
          <w:color w:val="FF0000"/>
          <w:sz w:val="26"/>
          <w:szCs w:val="26"/>
        </w:rPr>
      </w:pPr>
      <w:r>
        <w:rPr>
          <w:b/>
          <w:bCs/>
          <w:iCs/>
          <w:color w:val="FF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firstLine="709"/>
        <w:jc w:val="both"/>
        <w:outlineLvl w:val="1"/>
        <w:rPr>
          <w:b/>
          <w:b/>
          <w:bCs/>
          <w:i/>
          <w:i/>
          <w:iCs/>
        </w:rPr>
      </w:pPr>
      <w:r>
        <w:rPr>
          <w:b/>
          <w:bCs/>
          <w:iCs/>
        </w:rPr>
        <w:t>В связи с вступлением в силу:</w:t>
      </w:r>
    </w:p>
    <w:p>
      <w:pPr>
        <w:pStyle w:val="Normal"/>
        <w:suppressAutoHyphens w:val="true"/>
        <w:ind w:firstLine="709"/>
        <w:jc w:val="both"/>
        <w:rPr>
          <w:b/>
          <w:b/>
          <w:bCs/>
          <w:highlight w:val="white"/>
        </w:rPr>
      </w:pPr>
      <w:r>
        <w:rPr>
          <w:b/>
          <w:bCs/>
          <w:shd w:fill="FFFFFF" w:val="clear"/>
        </w:rPr>
        <w:t>Графика плановых проверок на 2021 год со стороны Государственной Инспекции по труду;</w:t>
      </w:r>
    </w:p>
    <w:p>
      <w:pPr>
        <w:pStyle w:val="Normal"/>
        <w:suppressAutoHyphens w:val="true"/>
        <w:ind w:firstLine="709"/>
        <w:jc w:val="both"/>
        <w:rPr>
          <w:b/>
          <w:b/>
          <w:bCs/>
          <w:highlight w:val="white"/>
        </w:rPr>
      </w:pPr>
      <w:r>
        <w:rPr>
          <w:b/>
          <w:bCs/>
          <w:shd w:fill="FFFFFF" w:val="clear"/>
        </w:rPr>
        <w:t xml:space="preserve">Федерального закона от 08.12.2020 № 407-ФЗ </w:t>
      </w:r>
      <w:r>
        <w:rPr>
          <w:shd w:fill="FFFFFF" w:val="clear"/>
        </w:rPr>
        <w:t>«О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</w:t>
      </w:r>
    </w:p>
    <w:p>
      <w:pPr>
        <w:pStyle w:val="Normal"/>
        <w:suppressAutoHyphens w:val="true"/>
        <w:ind w:firstLine="709"/>
        <w:jc w:val="both"/>
        <w:rPr/>
      </w:pPr>
      <w:r>
        <w:rPr>
          <w:b/>
          <w:bCs/>
          <w:shd w:fill="FFFFFF" w:val="clear"/>
        </w:rPr>
        <w:t xml:space="preserve">Федерального закона от 02.12.2019 N 393-ФЗ </w:t>
      </w:r>
      <w:r>
        <w:rPr>
          <w:shd w:fill="FFFFFF" w:val="clear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>
        <w:rPr/>
        <w:t xml:space="preserve"> </w:t>
      </w:r>
    </w:p>
    <w:p>
      <w:pPr>
        <w:pStyle w:val="Normal"/>
        <w:ind w:firstLine="709"/>
        <w:jc w:val="both"/>
        <w:rPr/>
      </w:pPr>
      <w:r>
        <w:rPr>
          <w:b/>
          <w:bCs/>
          <w:shd w:fill="FFFFFF" w:val="clear"/>
        </w:rPr>
        <w:t xml:space="preserve">Федерального закона от 16.12.2019 N 439-ФЗ </w:t>
      </w:r>
      <w:r>
        <w:rPr>
          <w:shd w:fill="FFFFFF" w:val="clear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>
        <w:rPr/>
        <w:t xml:space="preserve"> </w:t>
      </w:r>
    </w:p>
    <w:p>
      <w:pPr>
        <w:pStyle w:val="Normal"/>
        <w:ind w:firstLine="709"/>
        <w:jc w:val="both"/>
        <w:rPr>
          <w:highlight w:val="white"/>
        </w:rPr>
      </w:pPr>
      <w:r>
        <w:rPr>
          <w:b/>
          <w:bCs/>
          <w:shd w:fill="FFFFFF" w:val="clear"/>
        </w:rPr>
        <w:t xml:space="preserve">Федерального закона от 16.12.2019 N 436-ФЗ </w:t>
      </w:r>
      <w:r>
        <w:rPr>
          <w:shd w:fill="FFFFFF" w:val="clear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  <w:bCs/>
          <w:shd w:fill="FFFFFF" w:val="clear"/>
        </w:rPr>
        <w:t xml:space="preserve">Постановления Правления ПФ РФ от 25.12.2019 N 730п </w:t>
      </w:r>
      <w:r>
        <w:rPr>
          <w:shd w:fill="FFFFFF" w:val="clear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>
      <w:pPr>
        <w:pStyle w:val="Normal"/>
        <w:ind w:firstLine="709"/>
        <w:jc w:val="both"/>
        <w:rPr>
          <w:bCs/>
        </w:rPr>
      </w:pPr>
      <w:r>
        <w:rPr>
          <w:b/>
        </w:rPr>
        <w:t xml:space="preserve">Федерального закона от 02.05.2015 № 122-ФЗ </w:t>
      </w:r>
      <w:r>
        <w:rPr>
          <w:bCs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>А также:</w:t>
      </w:r>
    </w:p>
    <w:p>
      <w:pPr>
        <w:pStyle w:val="ListParagraph"/>
        <w:numPr>
          <w:ilvl w:val="0"/>
          <w:numId w:val="7"/>
        </w:numPr>
        <w:ind w:left="709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Новыми требованиями в законодательстве об охране труда c января 2021. В связи с реализацией «Регуляторной гильотины»</w:t>
      </w:r>
    </w:p>
    <w:p>
      <w:pPr>
        <w:pStyle w:val="ListParagraph"/>
        <w:numPr>
          <w:ilvl w:val="0"/>
          <w:numId w:val="7"/>
        </w:numPr>
        <w:ind w:left="709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Особенностями организации и охраны труда дистанционных (удаленных) работников</w:t>
      </w:r>
    </w:p>
    <w:p>
      <w:pPr>
        <w:pStyle w:val="ListParagraph"/>
        <w:numPr>
          <w:ilvl w:val="0"/>
          <w:numId w:val="7"/>
        </w:numPr>
        <w:ind w:left="709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Обязательными требованиями к разработке Системы управления охраной труда, на основании Приказ Минтруда России (Министерство труда и социальной защиты РФ) от 19 августа 2016 г. №438Н "ОБ</w:t>
      </w:r>
    </w:p>
    <w:p>
      <w:pPr>
        <w:pStyle w:val="ListParagraph"/>
        <w:numPr>
          <w:ilvl w:val="0"/>
          <w:numId w:val="7"/>
        </w:numPr>
        <w:ind w:left="709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УТВЕРЖДЕНИИ ТИПОВОГО ПОЛОЖЕНИЯ О СИСТЕМЕ УПРАВЛЕНИЯ ОХРАНОЙ ТРУДА";</w:t>
      </w:r>
    </w:p>
    <w:p>
      <w:pPr>
        <w:pStyle w:val="ListParagraph"/>
        <w:numPr>
          <w:ilvl w:val="0"/>
          <w:numId w:val="7"/>
        </w:numPr>
        <w:ind w:left="709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Обязательными требованиями к расчету профессиональных рисков.</w:t>
      </w:r>
    </w:p>
    <w:p>
      <w:pPr>
        <w:pStyle w:val="Normal"/>
        <w:jc w:val="both"/>
        <w:rPr>
          <w:b/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</w:r>
    </w:p>
    <w:p>
      <w:pPr>
        <w:pStyle w:val="Normal"/>
        <w:ind w:firstLine="709"/>
        <w:jc w:val="center"/>
        <w:rPr>
          <w:bCs/>
          <w:sz w:val="28"/>
          <w:szCs w:val="28"/>
        </w:rPr>
      </w:pPr>
      <w:r>
        <w:rPr>
          <w:b/>
          <w:color w:val="FF0000"/>
          <w:sz w:val="28"/>
          <w:szCs w:val="28"/>
        </w:rPr>
        <w:t>Рекомендуем принять участие:</w:t>
      </w:r>
    </w:p>
    <w:p>
      <w:pPr>
        <w:pStyle w:val="Normal"/>
        <w:tabs>
          <w:tab w:val="clear" w:pos="708"/>
          <w:tab w:val="left" w:pos="330" w:leader="none"/>
          <w:tab w:val="right" w:pos="8490" w:leader="none"/>
        </w:tabs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28 мая 2021 года</w:t>
      </w:r>
    </w:p>
    <w:p>
      <w:pPr>
        <w:pStyle w:val="Normal"/>
        <w:tabs>
          <w:tab w:val="clear" w:pos="708"/>
          <w:tab w:val="left" w:pos="330" w:leader="none"/>
          <w:tab w:val="right" w:pos="8490" w:leader="none"/>
        </w:tabs>
        <w:ind w:firstLine="709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ВАЖНО: Программа разработана с учетом изменений, вступивших в силу с 20.12.2020 по 15.02.2021 года.</w:t>
      </w:r>
    </w:p>
    <w:p>
      <w:pPr>
        <w:pStyle w:val="Normal"/>
        <w:tabs>
          <w:tab w:val="clear" w:pos="708"/>
          <w:tab w:val="left" w:pos="330" w:leader="none"/>
          <w:tab w:val="right" w:pos="8490" w:leader="none"/>
        </w:tabs>
        <w:ind w:firstLine="709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tabs>
          <w:tab w:val="clear" w:pos="708"/>
          <w:tab w:val="left" w:pos="330" w:leader="none"/>
          <w:tab w:val="right" w:pos="8490" w:leader="none"/>
        </w:tabs>
        <w:ind w:firstLine="709"/>
        <w:jc w:val="center"/>
        <w:rPr>
          <w:b/>
          <w:b/>
          <w:color w:val="040B92"/>
          <w:sz w:val="28"/>
          <w:szCs w:val="28"/>
        </w:rPr>
      </w:pPr>
      <w:r>
        <w:rPr>
          <w:b/>
          <w:color w:val="040B92"/>
          <w:sz w:val="28"/>
          <w:szCs w:val="28"/>
        </w:rPr>
        <w:t xml:space="preserve">В экстренном </w:t>
      </w:r>
      <w:r>
        <w:rPr>
          <w:b/>
          <w:color w:val="040B92"/>
          <w:sz w:val="28"/>
          <w:szCs w:val="28"/>
          <w:lang w:val="en-US"/>
        </w:rPr>
        <w:t>online</w:t>
      </w:r>
      <w:r>
        <w:rPr>
          <w:b/>
          <w:color w:val="040B92"/>
          <w:sz w:val="28"/>
          <w:szCs w:val="28"/>
        </w:rPr>
        <w:t xml:space="preserve"> обучение: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«2020-2023 гг.: Новое трудовое законодательство</w:t>
      </w:r>
      <w:r>
        <w:rPr>
          <w:sz w:val="28"/>
          <w:szCs w:val="28"/>
        </w:rPr>
        <w:t>»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Программа:</w:t>
      </w:r>
    </w:p>
    <w:p>
      <w:pPr>
        <w:pStyle w:val="Normal"/>
        <w:ind w:firstLine="709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tabs>
          <w:tab w:val="clear" w:pos="708"/>
          <w:tab w:val="left" w:pos="567" w:leader="none"/>
          <w:tab w:val="left" w:pos="1560" w:leader="none"/>
        </w:tabs>
        <w:spacing w:before="0" w:after="0"/>
        <w:ind w:firstLine="709"/>
        <w:contextualSpacing/>
        <w:jc w:val="both"/>
        <w:rPr>
          <w:rFonts w:eastAsia="Calibri"/>
          <w:b/>
          <w:b/>
          <w:color w:val="FF0000"/>
          <w:lang w:eastAsia="en-US"/>
        </w:rPr>
      </w:pPr>
      <w:r>
        <w:rPr>
          <w:rFonts w:eastAsia="Calibri"/>
          <w:b/>
          <w:color w:val="FF0000"/>
          <w:lang w:eastAsia="en-US"/>
        </w:rPr>
        <w:t>Новый трудовой кодекс РФ 2020-2021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Юридические аспекты;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Квалификационные аспекты;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Профессиональные аспекты;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Практические аспекты;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>
      <w:pPr>
        <w:pStyle w:val="Normal"/>
        <w:tabs>
          <w:tab w:val="clear" w:pos="708"/>
          <w:tab w:val="left" w:pos="567" w:leader="none"/>
          <w:tab w:val="left" w:pos="1560" w:leader="none"/>
        </w:tabs>
        <w:spacing w:before="0" w:after="0"/>
        <w:ind w:firstLine="709"/>
        <w:contextualSpacing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tabs>
          <w:tab w:val="clear" w:pos="708"/>
          <w:tab w:val="left" w:pos="142" w:leader="none"/>
        </w:tabs>
        <w:ind w:firstLine="709"/>
        <w:jc w:val="both"/>
        <w:rPr>
          <w:color w:val="FF0000"/>
        </w:rPr>
      </w:pPr>
      <w:r>
        <w:rPr>
          <w:b/>
          <w:bCs/>
          <w:iCs/>
          <w:color w:val="FF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Права и обязанности работодателя;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Права и обязанности работника;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0" w:after="0"/>
        <w:ind w:left="0" w:firstLine="709"/>
        <w:contextualSpacing/>
        <w:jc w:val="both"/>
        <w:rPr>
          <w:bCs/>
          <w:iCs/>
          <w:color w:val="000000"/>
          <w:lang w:eastAsia="en-US"/>
        </w:rPr>
      </w:pPr>
      <w:r>
        <w:rPr>
          <w:bCs/>
          <w:iCs/>
          <w:color w:val="000000"/>
          <w:lang w:eastAsia="en-US"/>
        </w:rPr>
        <w:t>Аргументы защиты работодателя;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bCs/>
          <w:iCs/>
          <w:color w:val="FF0000"/>
          <w:lang w:eastAsia="en-US"/>
        </w:rPr>
      </w:pPr>
      <w:r>
        <w:rPr>
          <w:bCs/>
          <w:iCs/>
          <w:color w:val="FF0000"/>
          <w:lang w:eastAsia="en-US"/>
        </w:rPr>
      </w:r>
    </w:p>
    <w:p>
      <w:pPr>
        <w:pStyle w:val="Normal"/>
        <w:shd w:val="clear" w:color="auto" w:fill="FFFFFF"/>
        <w:ind w:firstLine="709"/>
        <w:jc w:val="both"/>
        <w:rPr>
          <w:b/>
          <w:b/>
          <w:bCs/>
          <w:iCs/>
          <w:color w:val="FF0000"/>
        </w:rPr>
      </w:pPr>
      <w:r>
        <w:rPr>
          <w:b/>
          <w:bCs/>
          <w:iCs/>
          <w:color w:val="FF0000"/>
        </w:rPr>
        <w:t>Электронный кадровый документооборот (ЭКДО)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iCs/>
          <w:color w:val="000000"/>
        </w:rPr>
        <w:t>Юридические аспекты;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iCs/>
          <w:color w:val="000000"/>
        </w:rPr>
        <w:t>Обязательность перехода на ЭКДО;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iCs/>
          <w:color w:val="000000"/>
        </w:rPr>
        <w:t>Практика применения ЭКДО;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iCs/>
          <w:color w:val="000000"/>
        </w:rPr>
        <w:t>Портал «Работа в России»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iCs/>
          <w:color w:val="000000"/>
        </w:rPr>
        <w:t>Цифровая отчетность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>
      <w:pPr>
        <w:pStyle w:val="Normal"/>
        <w:ind w:firstLine="709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/>
          <w:color w:val="FF0000"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color w:val="FF0000"/>
          <w:sz w:val="24"/>
          <w:szCs w:val="24"/>
        </w:rPr>
        <w:t>Внедрение профессиональных стандартов</w:t>
        <w:softHyphen/>
        <w:t xml:space="preserve"> на предприятии.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Юридические аспекты;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bCs/>
          <w:iCs/>
          <w:color w:val="000000"/>
          <w:lang w:eastAsia="en-US"/>
        </w:rPr>
      </w:pPr>
      <w:r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560" w:leader="none"/>
        </w:tabs>
        <w:spacing w:before="0" w:after="0"/>
        <w:ind w:left="0" w:firstLine="709"/>
        <w:contextualSpacing/>
        <w:jc w:val="both"/>
        <w:rPr>
          <w:bCs/>
          <w:iCs/>
          <w:color w:val="000000"/>
          <w:lang w:eastAsia="en-US"/>
        </w:rPr>
      </w:pPr>
      <w:r>
        <w:rPr>
          <w:bCs/>
          <w:iCs/>
          <w:color w:val="000000"/>
          <w:lang w:eastAsia="en-US"/>
        </w:rPr>
        <w:t>Профессиональные стандарты и отчет СЗВ-ТД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0" w:after="0"/>
        <w:ind w:left="0" w:firstLine="709"/>
        <w:contextualSpacing/>
        <w:jc w:val="both"/>
        <w:rPr>
          <w:lang w:eastAsia="en-US"/>
        </w:rPr>
      </w:pPr>
      <w:r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contextualSpacing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ind w:firstLine="709"/>
        <w:jc w:val="both"/>
        <w:rPr>
          <w:color w:val="FF0000"/>
        </w:rPr>
      </w:pPr>
      <w:r>
        <w:rPr>
          <w:b/>
          <w:color w:val="FF0000"/>
        </w:rPr>
        <w:t xml:space="preserve">Закон о работе на удаленке: новые положения в ТК РФ </w:t>
      </w:r>
      <w:r>
        <w:rPr>
          <w:color w:val="FF0000"/>
        </w:rPr>
        <w:t>(Федеральный закон от 08.12.2020 № 407-ФЗ).</w:t>
      </w:r>
      <w:bookmarkStart w:id="0" w:name="_Hlk61896097"/>
      <w:bookmarkEnd w:id="0"/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 w:eastAsia="Times New Roman"/>
          <w:bCs/>
          <w:iCs/>
          <w:color w:val="000000"/>
          <w:sz w:val="24"/>
          <w:szCs w:val="24"/>
        </w:rPr>
      </w:pPr>
      <w:r>
        <w:rPr>
          <w:rFonts w:eastAsia="Times New Roman" w:ascii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 w:eastAsia="Times New Roman"/>
          <w:bCs/>
          <w:iCs/>
          <w:color w:val="000000"/>
          <w:sz w:val="24"/>
          <w:szCs w:val="24"/>
        </w:rPr>
      </w:pPr>
      <w:r>
        <w:rPr>
          <w:rFonts w:eastAsia="Times New Roman" w:ascii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Какие изменения внести в документы.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b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Электронная подпись при оформлении дистанционной работы.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b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Ведение табеля учета рабочего времени на дистанционных работников.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/>
          <w:b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 взаимодействия с дистанционными работниками в рабочее и в нерабочее время.</w:t>
      </w:r>
    </w:p>
    <w:p>
      <w:pPr>
        <w:pStyle w:val="ListParagraph"/>
        <w:tabs>
          <w:tab w:val="clear" w:pos="708"/>
          <w:tab w:val="left" w:pos="567" w:leader="none"/>
        </w:tabs>
        <w:ind w:left="709" w:hanging="0"/>
        <w:jc w:val="both"/>
        <w:rPr>
          <w:rFonts w:ascii="Times New Roman" w:hAnsi="Times New Roman"/>
          <w:b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</w:r>
    </w:p>
    <w:p>
      <w:pPr>
        <w:pStyle w:val="ListParagraph"/>
        <w:tabs>
          <w:tab w:val="clear" w:pos="708"/>
          <w:tab w:val="left" w:pos="567" w:leader="none"/>
        </w:tabs>
        <w:ind w:left="709" w:hanging="0"/>
        <w:jc w:val="both"/>
        <w:rPr>
          <w:rFonts w:ascii="Times New Roman" w:hAnsi="Times New Roman"/>
          <w:b/>
          <w:b/>
          <w:bCs/>
          <w:i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FF0000"/>
          <w:sz w:val="24"/>
          <w:szCs w:val="24"/>
        </w:rPr>
        <w:t>Режимы работы и характер работы.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Основные режимы работы и порядок их установления;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В каких документах прописать режим работы?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567" w:leader="none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Что такое характер работы и его основные типы.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b/>
          <w:b/>
          <w:iCs/>
          <w:color w:val="000000"/>
          <w:lang w:eastAsia="en-US"/>
        </w:rPr>
      </w:pPr>
      <w:r>
        <w:rPr>
          <w:b/>
          <w:iCs/>
          <w:color w:val="000000"/>
          <w:lang w:eastAsia="en-US"/>
        </w:rPr>
      </w:r>
    </w:p>
    <w:p>
      <w:pPr>
        <w:pStyle w:val="Normal"/>
        <w:ind w:firstLine="709"/>
        <w:jc w:val="both"/>
        <w:rPr>
          <w:b/>
          <w:b/>
          <w:bCs/>
          <w:color w:val="FF0000"/>
        </w:rPr>
      </w:pPr>
      <w:r>
        <w:rPr>
          <w:b/>
          <w:bCs/>
          <w:color w:val="FF0000"/>
        </w:rPr>
        <w:t>Кадровый учёт на предприятии</w:t>
      </w:r>
    </w:p>
    <w:p>
      <w:pPr>
        <w:pStyle w:val="Normal"/>
        <w:numPr>
          <w:ilvl w:val="0"/>
          <w:numId w:val="5"/>
        </w:numPr>
        <w:ind w:left="0" w:firstLine="709"/>
        <w:jc w:val="both"/>
        <w:rPr>
          <w:i/>
          <w:i/>
        </w:rPr>
      </w:pPr>
      <w:r>
        <w:rPr/>
        <w:t xml:space="preserve">Кадровый учёт на предприятии: </w:t>
      </w:r>
      <w:r>
        <w:rPr>
          <w:i/>
        </w:rPr>
        <w:t xml:space="preserve">Новое в Трудовом законодательстве c января 2021. </w:t>
      </w:r>
    </w:p>
    <w:p>
      <w:pPr>
        <w:pStyle w:val="Normal"/>
        <w:numPr>
          <w:ilvl w:val="0"/>
          <w:numId w:val="5"/>
        </w:numPr>
        <w:ind w:left="0" w:firstLine="709"/>
        <w:jc w:val="both"/>
        <w:rPr>
          <w:i/>
          <w:i/>
          <w:u w:val="single"/>
        </w:rPr>
      </w:pPr>
      <w:r>
        <w:rPr/>
        <w:t>Основные ошибки работодателя и кадровой службы. Исключение ошибок на примере отдельных документов: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Правила внутреннего трудового распорядка;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Положение об оплате труда;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Положение о защите персональных данных работников;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Согласие работника на хранение, обработку и передачу персональных данных;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Положение о коммерческой тайне;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Положение о командировках;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Положение о разъездном характере работ;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Коллективный договор;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Книга учета движения трудовых книжек и вкладышей к ним;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Журналы;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Приказы;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Штатное расписание;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Трудовые книжки;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Трудовые договоры и дополнительные соглашения к ним;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Личные карточки Т-2;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Приказы по личному составу (прием, перевод, увольнение);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Личные дела на работников;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Должностные инструкции;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График отпусков;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Приказы о предоставлении отпусков;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Табель учета рабочего времени;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Графики сменности;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Договор полной материальной ответственности;</w:t>
      </w:r>
    </w:p>
    <w:p>
      <w:pPr>
        <w:pStyle w:val="Normal"/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Приказы о дисциплинарных взысканиях;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bCs/>
          <w:color w:val="FF0000"/>
        </w:rPr>
      </w:pPr>
      <w:r>
        <w:rPr>
          <w:bCs/>
          <w:color w:val="FF0000"/>
        </w:rPr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bookmarkStart w:id="1" w:name="_Hlk41605513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bookmarkStart w:id="2" w:name="_Hlk41605513"/>
      <w:r>
        <w:rPr>
          <w:rFonts w:ascii="Times New Roman" w:hAnsi="Times New Roman"/>
          <w:b/>
          <w:bCs/>
          <w:i/>
          <w:iCs/>
          <w:sz w:val="24"/>
          <w:szCs w:val="24"/>
        </w:rPr>
        <w:t>Кадровый аудит / Кадровый аутсорсинг: выгоды и преимущества.</w:t>
      </w:r>
      <w:bookmarkEnd w:id="2"/>
    </w:p>
    <w:p>
      <w:pPr>
        <w:pStyle w:val="Normal"/>
        <w:ind w:firstLine="709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firstLine="709"/>
        <w:jc w:val="both"/>
        <w:rPr>
          <w:b/>
          <w:b/>
          <w:bCs/>
          <w:color w:val="FF0000"/>
        </w:rPr>
      </w:pPr>
      <w:r>
        <w:rPr>
          <w:b/>
          <w:bCs/>
          <w:color w:val="FF0000"/>
        </w:rPr>
        <w:t>Охрана труда.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Новое в законодательстве об охране труда c января 2021. Правила по охране труда, вступившие в силу с  01.01.2021 г. </w:t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240" w:before="0" w:after="0"/>
        <w:ind w:left="0" w:firstLine="709"/>
        <w:contextualSpacing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организации и охраны труда дистанционных работников.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>
      <w:pPr>
        <w:pStyle w:val="ConsPlusNormal"/>
        <w:ind w:firstLine="709"/>
        <w:jc w:val="both"/>
        <w:rPr/>
      </w:pPr>
      <w:r>
        <w:rPr/>
        <w:t>1. Политика работодателя в области охраны труда;</w:t>
      </w:r>
    </w:p>
    <w:p>
      <w:pPr>
        <w:pStyle w:val="ConsPlusNormal"/>
        <w:ind w:firstLine="709"/>
        <w:jc w:val="both"/>
        <w:rPr/>
      </w:pPr>
      <w:r>
        <w:rPr/>
        <w:t>2. Цели работодателя в области охраны труда;</w:t>
      </w:r>
    </w:p>
    <w:p>
      <w:pPr>
        <w:pStyle w:val="ConsPlusNormal"/>
        <w:ind w:firstLine="709"/>
        <w:jc w:val="both"/>
        <w:rPr/>
      </w:pPr>
      <w:r>
        <w:rPr/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>
      <w:pPr>
        <w:pStyle w:val="ConsPlusNormal"/>
        <w:ind w:firstLine="709"/>
        <w:jc w:val="both"/>
        <w:rPr/>
      </w:pPr>
      <w:r>
        <w:rPr/>
        <w:t>4. Процедуры, направленные на достижение целей работодателя в области охраны труда (далее - процедуры), включая:</w:t>
      </w:r>
    </w:p>
    <w:p>
      <w:pPr>
        <w:pStyle w:val="ConsPlusNormal"/>
        <w:ind w:firstLine="709"/>
        <w:jc w:val="both"/>
        <w:rPr/>
      </w:pPr>
      <w:r>
        <w:rPr/>
        <w:t>4.1 процедуру подготовки работников по охране труда;</w:t>
      </w:r>
    </w:p>
    <w:p>
      <w:pPr>
        <w:pStyle w:val="ConsPlusNormal"/>
        <w:ind w:firstLine="709"/>
        <w:jc w:val="both"/>
        <w:rPr/>
      </w:pPr>
      <w:r>
        <w:rPr/>
        <w:t>4.2 процедуру организации и проведения оценки условий труда;</w:t>
      </w:r>
    </w:p>
    <w:p>
      <w:pPr>
        <w:pStyle w:val="ConsPlusNormal"/>
        <w:ind w:firstLine="709"/>
        <w:jc w:val="both"/>
        <w:rPr/>
      </w:pPr>
      <w:r>
        <w:rPr/>
        <w:t>4.3 процедуру управления профессиональными рисками;</w:t>
      </w:r>
    </w:p>
    <w:p>
      <w:pPr>
        <w:pStyle w:val="ConsPlusNormal"/>
        <w:ind w:firstLine="709"/>
        <w:jc w:val="both"/>
        <w:rPr/>
      </w:pPr>
      <w:r>
        <w:rPr/>
        <w:t>4.4 процедуру организации и проведения наблюдения за состоянием здоровья работников;</w:t>
      </w:r>
    </w:p>
    <w:p>
      <w:pPr>
        <w:pStyle w:val="ConsPlusNormal"/>
        <w:ind w:firstLine="709"/>
        <w:jc w:val="both"/>
        <w:rPr/>
      </w:pPr>
      <w:r>
        <w:rPr/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>
      <w:pPr>
        <w:pStyle w:val="ConsPlusNormal"/>
        <w:ind w:firstLine="709"/>
        <w:jc w:val="both"/>
        <w:rPr/>
      </w:pPr>
      <w:r>
        <w:rPr/>
        <w:t>4.6 процедуру обеспечения оптимальных режимов труда и отдыха работников;</w:t>
      </w:r>
    </w:p>
    <w:p>
      <w:pPr>
        <w:pStyle w:val="ConsPlusNormal"/>
        <w:ind w:firstLine="709"/>
        <w:jc w:val="both"/>
        <w:rPr/>
      </w:pPr>
      <w:r>
        <w:rPr/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>
      <w:pPr>
        <w:pStyle w:val="ConsPlusNormal"/>
        <w:ind w:firstLine="709"/>
        <w:jc w:val="both"/>
        <w:rPr/>
      </w:pPr>
      <w:r>
        <w:rPr/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>
      <w:pPr>
        <w:pStyle w:val="ConsPlusNormal"/>
        <w:ind w:firstLine="709"/>
        <w:jc w:val="both"/>
        <w:rPr/>
      </w:pPr>
      <w:r>
        <w:rPr/>
        <w:t>4.9 процедуры обеспечения безопасного выполнения подрядных работ и снабжения безопасной продукцией;</w:t>
      </w:r>
    </w:p>
    <w:p>
      <w:pPr>
        <w:pStyle w:val="ConsPlusNormal"/>
        <w:ind w:firstLine="709"/>
        <w:jc w:val="both"/>
        <w:rPr/>
      </w:pPr>
      <w:r>
        <w:rPr/>
        <w:t>5. Планирование мероприятий по реализации процедур;</w:t>
      </w:r>
    </w:p>
    <w:p>
      <w:pPr>
        <w:pStyle w:val="ConsPlusNormal"/>
        <w:ind w:firstLine="709"/>
        <w:jc w:val="both"/>
        <w:rPr/>
      </w:pPr>
      <w:r>
        <w:rPr/>
        <w:t>6. Контроль функционирования СУОТ и мониторинг реализации процедур;</w:t>
      </w:r>
    </w:p>
    <w:p>
      <w:pPr>
        <w:pStyle w:val="ConsPlusNormal"/>
        <w:ind w:firstLine="709"/>
        <w:jc w:val="both"/>
        <w:rPr/>
      </w:pPr>
      <w:r>
        <w:rPr/>
        <w:t>7. Планирование улучшений функционирования СУОТ;</w:t>
      </w:r>
    </w:p>
    <w:p>
      <w:pPr>
        <w:pStyle w:val="ConsPlusNormal"/>
        <w:ind w:firstLine="709"/>
        <w:jc w:val="both"/>
        <w:rPr/>
      </w:pPr>
      <w:r>
        <w:rPr/>
        <w:t>8. Реагирование на аварии, несчастные случаи и профессиональные заболевания;</w:t>
      </w:r>
    </w:p>
    <w:p>
      <w:pPr>
        <w:pStyle w:val="ConsPlusNormal"/>
        <w:ind w:firstLine="709"/>
        <w:jc w:val="both"/>
        <w:rPr/>
      </w:pPr>
      <w:r>
        <w:rPr/>
        <w:t>9. Управление документами СУОТ.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Аудит охраны труда / аутсорсинг охраны труда: выгоды и преимущества.</w:t>
      </w:r>
    </w:p>
    <w:p>
      <w:pPr>
        <w:pStyle w:val="Normal"/>
        <w:shd w:val="clear" w:color="auto" w:fill="FFFFFF"/>
        <w:ind w:firstLine="709"/>
        <w:jc w:val="both"/>
        <w:rPr>
          <w:b/>
          <w:b/>
          <w:bCs/>
          <w:i/>
          <w:i/>
          <w:iCs/>
          <w:color w:val="000000"/>
        </w:rPr>
      </w:pPr>
      <w:r>
        <w:rPr>
          <w:b/>
          <w:bCs/>
          <w:i/>
          <w:iCs/>
          <w:color w:val="000000"/>
        </w:rPr>
      </w:r>
    </w:p>
    <w:p>
      <w:pPr>
        <w:pStyle w:val="Normal"/>
        <w:shd w:val="clear" w:color="auto" w:fill="FFFFFF"/>
        <w:ind w:firstLine="709"/>
        <w:jc w:val="both"/>
        <w:rPr>
          <w:b/>
          <w:b/>
          <w:bCs/>
          <w:color w:val="FF0000"/>
        </w:rPr>
      </w:pPr>
      <w:r>
        <w:rPr>
          <w:b/>
          <w:bCs/>
          <w:color w:val="FF0000"/>
        </w:rPr>
        <w:t>Готовимся к проверкам контролирующих органов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Федеральный закон от 31 июля 2020 г. № 248-ФЗ</w:t>
      </w:r>
      <w:r>
        <w:rPr>
          <w:color w:val="000000"/>
        </w:rPr>
        <w:t xml:space="preserve"> “О государственном контроле (надзоре) и муниципальном контроле в Российской Федерации”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Проект нового КоАП в части санкций за несоблюдение трудового законодательства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Виды, структуры, регламент проведения проверок.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Изменение штрафных санкций 2019 г. – 2021 г.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b/>
          <w:b/>
          <w:bCs/>
          <w:i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FF0000"/>
          <w:sz w:val="24"/>
          <w:szCs w:val="24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i/>
          <w:i/>
          <w:color w:val="000000"/>
          <w:lang w:eastAsia="en-US"/>
        </w:rPr>
      </w:pPr>
      <w:r>
        <w:rPr>
          <w:rFonts w:eastAsia="Calibri"/>
          <w:b/>
          <w:color w:val="FF0000"/>
          <w:u w:val="single"/>
          <w:lang w:eastAsia="en-US"/>
        </w:rPr>
        <w:t>Вебинар ведут</w:t>
      </w:r>
      <w:r>
        <w:rPr>
          <w:rFonts w:eastAsia="Calibri"/>
          <w:b/>
          <w:color w:val="FF0000"/>
          <w:lang w:eastAsia="en-US"/>
        </w:rPr>
        <w:t>:</w:t>
      </w:r>
      <w:r>
        <w:rPr>
          <w:rFonts w:eastAsia="Calibri"/>
          <w:b/>
          <w:color w:val="000000"/>
          <w:lang w:eastAsia="en-US"/>
        </w:rPr>
        <w:t xml:space="preserve"> </w:t>
      </w:r>
    </w:p>
    <w:p>
      <w:pPr>
        <w:pStyle w:val="Normal"/>
        <w:shd w:val="clear" w:color="auto" w:fill="FFFFFF"/>
        <w:ind w:firstLine="709"/>
        <w:jc w:val="both"/>
        <w:rPr>
          <w:color w:val="000000"/>
        </w:rPr>
      </w:pPr>
      <w:r>
        <w:rPr>
          <w:b/>
          <w:color w:val="000000"/>
        </w:rPr>
        <w:t>Жуковский Максим Евгеньевич</w:t>
      </w:r>
      <w:r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>
      <w:pPr>
        <w:pStyle w:val="Normal"/>
        <w:ind w:firstLine="709"/>
        <w:jc w:val="both"/>
        <w:rPr>
          <w:color w:val="000000"/>
        </w:rPr>
      </w:pPr>
      <w:r>
        <w:rPr>
          <w:b/>
          <w:color w:val="000000"/>
        </w:rPr>
        <w:t>Жуковская Ирина Николаевна</w:t>
      </w:r>
      <w:r>
        <w:rPr>
          <w:color w:val="000000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>
      <w:pPr>
        <w:pStyle w:val="Normal"/>
        <w:ind w:firstLine="709"/>
        <w:jc w:val="both"/>
        <w:rPr/>
      </w:pPr>
      <w:r>
        <w:rPr>
          <w:b/>
          <w:color w:val="000000"/>
        </w:rPr>
        <w:t>Решетникова Елена Валерьевна</w:t>
      </w:r>
      <w:r>
        <w:rPr>
          <w:color w:val="000000"/>
        </w:rPr>
        <w:t xml:space="preserve"> - </w:t>
      </w:r>
      <w:r>
        <w:rPr>
          <w:shd w:fill="FFFFFF" w:val="clear"/>
        </w:rPr>
        <w:t> Руководитель отдела аудита по кадровому делопроизводству</w:t>
      </w:r>
      <w:r>
        <w:rPr>
          <w:color w:val="000000"/>
        </w:rPr>
        <w:t xml:space="preserve"> Общества с ограниченной ответственностью Центр аудита и охраны труда «Лидер»,</w:t>
      </w:r>
      <w:r>
        <w:rPr>
          <w:shd w:fill="FFFFFF" w:val="clear"/>
        </w:rPr>
        <w:t xml:space="preserve"> </w:t>
      </w:r>
      <w:r>
        <w:rPr>
          <w:color w:val="000000"/>
          <w:shd w:fill="FFFFFF" w:val="clear"/>
        </w:rPr>
        <w:t xml:space="preserve">Эксперт по трудовому законодательству, </w:t>
      </w:r>
      <w:r>
        <w:rPr>
          <w:color w:val="000000"/>
        </w:rPr>
        <w:t>Член рабочей группы проекта Министерства труда и социальной защиты населения РФ по переходу на "Электронный документооборот связанный с работой"</w:t>
      </w:r>
      <w:r>
        <w:rPr/>
        <w:t xml:space="preserve">, </w:t>
      </w:r>
      <w:r>
        <w:rPr>
          <w:color w:val="000000"/>
        </w:rPr>
        <w:t>Аудитор по кадровому делопроизводству </w:t>
      </w:r>
    </w:p>
    <w:p>
      <w:pPr>
        <w:pStyle w:val="Normal"/>
        <w:spacing w:before="0" w:after="0"/>
        <w:contextualSpacing/>
        <w:jc w:val="both"/>
        <w:rPr>
          <w:rFonts w:eastAsia="Calibri"/>
          <w:b/>
          <w:b/>
          <w:i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rFonts w:eastAsia="Calibri"/>
          <w:b/>
          <w:color w:val="FF0000"/>
          <w:u w:val="single"/>
          <w:lang w:eastAsia="en-US"/>
        </w:rPr>
        <w:t>Стоимость вебинара</w:t>
      </w:r>
      <w:r>
        <w:rPr>
          <w:rFonts w:eastAsia="Calibri"/>
          <w:b/>
          <w:i/>
          <w:color w:val="000000"/>
          <w:lang w:eastAsia="en-US"/>
        </w:rPr>
        <w:t xml:space="preserve">: </w:t>
      </w:r>
    </w:p>
    <w:p>
      <w:pPr>
        <w:pStyle w:val="Normal"/>
        <w:spacing w:before="0" w:after="0"/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u w:val="single"/>
          <w:lang w:eastAsia="en-US"/>
        </w:rPr>
        <w:t>ТАРИФ 1:</w:t>
      </w:r>
      <w:r>
        <w:rPr>
          <w:color w:val="FF0000"/>
        </w:rPr>
        <w:t xml:space="preserve"> </w:t>
      </w:r>
    </w:p>
    <w:p>
      <w:pPr>
        <w:pStyle w:val="Normal"/>
        <w:spacing w:before="0" w:after="0"/>
        <w:ind w:firstLine="709"/>
        <w:contextualSpacing/>
        <w:jc w:val="both"/>
        <w:rPr>
          <w:b/>
          <w:b/>
          <w:i/>
          <w:i/>
          <w:color w:val="1F497D" w:themeColor="text2"/>
        </w:rPr>
      </w:pPr>
      <w:r>
        <w:rPr>
          <w:b/>
          <w:i/>
          <w:color w:val="1F497D" w:themeColor="text2"/>
        </w:rPr>
        <w:t>по итогам каждый участник получает сертификат участника семинара, раздаточный материал семинара в электронном виде.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eastAsia="en-US"/>
        </w:rPr>
        <w:t>3000 рублей за одного участника;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eastAsia="en-US"/>
        </w:rPr>
        <w:t>6000 рублей с предприятия (до 3-х участников от организации);</w:t>
      </w:r>
    </w:p>
    <w:p>
      <w:pPr>
        <w:pStyle w:val="Normal"/>
        <w:spacing w:before="0" w:after="0"/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u w:val="single"/>
          <w:lang w:eastAsia="en-US"/>
        </w:rPr>
        <w:t>ТАРИФ 2:</w:t>
      </w:r>
      <w:r>
        <w:rPr>
          <w:color w:val="FF0000"/>
        </w:rPr>
        <w:t xml:space="preserve"> </w:t>
      </w:r>
      <w:r>
        <w:rPr>
          <w:rFonts w:eastAsia="Calibri"/>
          <w:b/>
          <w:i/>
          <w:color w:val="FF0000"/>
          <w:u w:val="single"/>
          <w:lang w:eastAsia="en-US"/>
        </w:rPr>
        <w:t xml:space="preserve"> (повышение квалификации 16 академических часов ):</w:t>
      </w:r>
      <w:r>
        <w:rPr>
          <w:color w:val="FF0000"/>
        </w:rPr>
        <w:t xml:space="preserve"> </w:t>
      </w:r>
      <w:bookmarkStart w:id="3" w:name="_Hlk52315066"/>
      <w:bookmarkEnd w:id="3"/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b/>
          <w:i/>
          <w:color w:val="1F497D" w:themeColor="text2"/>
        </w:rPr>
        <w:t>по итогам каждый участник получает Удостоверение о повышении квалификации</w:t>
      </w:r>
      <w:r>
        <w:rPr>
          <w:rFonts w:eastAsia="Calibri"/>
          <w:b/>
          <w:i/>
          <w:color w:val="1F497D" w:themeColor="text2"/>
          <w:lang w:eastAsia="en-US"/>
        </w:rPr>
        <w:t>, раздаточный материал семинара в электронном виде,</w:t>
      </w:r>
      <w:r>
        <w:rPr/>
        <w:t xml:space="preserve"> </w:t>
      </w:r>
      <w:r>
        <w:rPr>
          <w:rFonts w:eastAsia="Calibri"/>
          <w:b/>
          <w:i/>
          <w:color w:val="1F497D" w:themeColor="text2"/>
          <w:lang w:eastAsia="en-US"/>
        </w:rPr>
        <w:t>дополнительный практический материал по темам семинара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eastAsia="en-US"/>
        </w:rPr>
        <w:t>4000 рублей за одного участника;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eastAsia="en-US"/>
        </w:rPr>
        <w:t>9000 рублей с предприятия (до 3-х участников от организации);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lang w:eastAsia="en-US"/>
        </w:rPr>
      </w:pPr>
      <w:r>
        <w:rPr>
          <w:rFonts w:eastAsia="Calibri"/>
          <w:b/>
          <w:color w:val="FF0000"/>
          <w:lang w:eastAsia="en-US"/>
        </w:rPr>
        <w:t xml:space="preserve">Стоимость полной видеозаписи вебинара 1000 рублей  </w:t>
      </w:r>
      <w:r>
        <w:rPr>
          <w:rFonts w:eastAsia="Calibri"/>
          <w:b/>
          <w:lang w:eastAsia="en-US"/>
        </w:rPr>
        <w:t>(доступно только участникам)</w:t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b/>
          <w:b/>
          <w:i/>
          <w:i/>
          <w:color w:val="FF0000"/>
          <w:lang w:eastAsia="en-US"/>
        </w:rPr>
      </w:pPr>
      <w:r>
        <w:rPr>
          <w:rFonts w:eastAsia="Calibri"/>
          <w:b/>
          <w:i/>
          <w:color w:val="FF0000"/>
          <w:lang w:eastAsia="en-US"/>
        </w:rPr>
      </w:r>
    </w:p>
    <w:p>
      <w:pPr>
        <w:pStyle w:val="Normal"/>
        <w:ind w:firstLine="709"/>
        <w:jc w:val="both"/>
        <w:rPr>
          <w:b/>
          <w:b/>
          <w:bCs/>
          <w:i/>
          <w:i/>
          <w:iCs/>
          <w:color w:val="000000"/>
          <w:highlight w:val="white"/>
        </w:rPr>
      </w:pPr>
      <w:r>
        <w:rPr>
          <w:b/>
          <w:color w:val="FF0000"/>
          <w:u w:val="single"/>
        </w:rPr>
        <w:t>Дата проведения</w:t>
      </w:r>
      <w:r>
        <w:rPr>
          <w:b/>
          <w:color w:val="000000"/>
        </w:rPr>
        <w:t xml:space="preserve">: 28 мая 2021 года </w:t>
      </w:r>
    </w:p>
    <w:p>
      <w:pPr>
        <w:pStyle w:val="Normal"/>
        <w:ind w:firstLine="709"/>
        <w:jc w:val="both"/>
        <w:rPr>
          <w:b/>
          <w:b/>
          <w:bCs/>
          <w:i/>
          <w:i/>
          <w:iCs/>
          <w:color w:val="000000"/>
          <w:highlight w:val="white"/>
        </w:rPr>
      </w:pPr>
      <w:r>
        <w:rPr>
          <w:b/>
          <w:color w:val="FF0000"/>
          <w:u w:val="single"/>
        </w:rPr>
        <w:t>Время проведения (МСК)</w:t>
      </w:r>
      <w:r>
        <w:rPr>
          <w:b/>
          <w:color w:val="000000"/>
        </w:rPr>
        <w:t>: начало регистрации – 6.30 мск</w:t>
      </w:r>
    </w:p>
    <w:p>
      <w:pPr>
        <w:pStyle w:val="Normal"/>
        <w:ind w:firstLine="709"/>
        <w:jc w:val="both"/>
        <w:rPr>
          <w:b/>
          <w:b/>
          <w:color w:val="000000"/>
        </w:rPr>
      </w:pPr>
      <w:r>
        <w:rPr>
          <w:b/>
          <w:color w:val="000000"/>
        </w:rPr>
        <w:t>начало вебинара – 7.00 мск</w:t>
      </w:r>
    </w:p>
    <w:p>
      <w:pPr>
        <w:pStyle w:val="Normal"/>
        <w:ind w:firstLine="709"/>
        <w:jc w:val="both"/>
        <w:rPr>
          <w:b/>
          <w:b/>
          <w:color w:val="000000"/>
        </w:rPr>
      </w:pPr>
      <w:r>
        <w:rPr>
          <w:b/>
          <w:color w:val="000000"/>
        </w:rPr>
        <w:t>окончание вебинара – 12.00 мск</w:t>
      </w:r>
    </w:p>
    <w:p>
      <w:pPr>
        <w:pStyle w:val="Normal"/>
        <w:ind w:firstLine="709"/>
        <w:jc w:val="both"/>
        <w:rPr>
          <w:b/>
          <w:b/>
          <w:color w:val="000000"/>
        </w:rPr>
      </w:pPr>
      <w:r>
        <w:rPr>
          <w:b/>
          <w:color w:val="000000"/>
        </w:rPr>
        <w:t>перерыв – с 10.00 до 11.00 мск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  <w:color w:val="FF0000"/>
          <w:u w:val="single"/>
        </w:rPr>
        <w:t>Регистрация: Заявки (форма прилагается)  принимаются до 12-00 27.05.2021 на электронную почту</w:t>
      </w:r>
      <w:r>
        <w:rPr>
          <w:b/>
        </w:rPr>
        <w:t xml:space="preserve"> </w:t>
      </w:r>
      <w:hyperlink r:id="rId5">
        <w:r>
          <w:rPr>
            <w:b/>
            <w:lang w:val="en-US"/>
          </w:rPr>
          <w:t>limonova</w:t>
        </w:r>
        <w:r>
          <w:rPr>
            <w:b/>
          </w:rPr>
          <w:t>@</w:t>
        </w:r>
        <w:r>
          <w:rPr>
            <w:b/>
            <w:lang w:val="en-US"/>
          </w:rPr>
          <w:t>caotlider</w:t>
        </w:r>
        <w:r>
          <w:rPr>
            <w:b/>
          </w:rPr>
          <w:t>.</w:t>
        </w:r>
        <w:r>
          <w:rPr>
            <w:b/>
            <w:lang w:val="en-US"/>
          </w:rPr>
          <w:t>ru</w:t>
        </w:r>
      </w:hyperlink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  <w:color w:val="FF0000"/>
          <w:u w:val="single"/>
        </w:rPr>
        <w:t>Ответственный исполнитель: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           </w:t>
      </w:r>
      <w:r>
        <w:rPr>
          <w:b/>
          <w:bCs/>
        </w:rPr>
        <w:t xml:space="preserve">Лимонова Оксана Андреевна 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          </w:t>
      </w:r>
      <w:r>
        <w:rPr>
          <w:b/>
          <w:bCs/>
        </w:rPr>
        <w:t>+7 996 801 16 70</w:t>
      </w:r>
    </w:p>
    <w:p>
      <w:pPr>
        <w:pStyle w:val="Normal"/>
        <w:jc w:val="both"/>
        <w:rPr>
          <w:b/>
          <w:b/>
          <w:bCs/>
        </w:rPr>
      </w:pPr>
      <w:r>
        <w:rPr/>
        <w:t xml:space="preserve">           </w:t>
      </w:r>
      <w:hyperlink r:id="rId6">
        <w:r>
          <w:rPr>
            <w:b/>
            <w:lang w:val="en-US"/>
          </w:rPr>
          <w:t>limonova</w:t>
        </w:r>
        <w:r>
          <w:rPr>
            <w:b/>
          </w:rPr>
          <w:t>@</w:t>
        </w:r>
        <w:r>
          <w:rPr>
            <w:b/>
            <w:lang w:val="en-US"/>
          </w:rPr>
          <w:t>caotlider</w:t>
        </w:r>
        <w:r>
          <w:rPr>
            <w:b/>
          </w:rPr>
          <w:t>.</w:t>
        </w:r>
        <w:r>
          <w:rPr>
            <w:b/>
            <w:lang w:val="en-US"/>
          </w:rPr>
          <w:t>ru</w:t>
        </w:r>
      </w:hyperlink>
    </w:p>
    <w:sectPr>
      <w:footerReference w:type="default" r:id="rId7"/>
      <w:type w:val="nextPage"/>
      <w:pgSz w:w="11906" w:h="16838"/>
      <w:pgMar w:left="1418" w:right="850" w:header="0" w:top="567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76"/>
      <w:ind w:firstLine="709"/>
      <w:jc w:val="both"/>
      <w:rPr>
        <w:rFonts w:eastAsia="Arial"/>
        <w:b/>
        <w:b/>
        <w:i/>
        <w:i/>
        <w:color w:val="000000"/>
      </w:rPr>
    </w:pPr>
    <w:r>
      <w:rPr>
        <w:rFonts w:eastAsia="Calibri"/>
        <w:b/>
        <w:i/>
        <w:color w:val="000000"/>
        <w:lang w:eastAsia="en-US"/>
      </w:rPr>
      <w:t xml:space="preserve">Исп. </w:t>
    </w:r>
    <w:r>
      <w:rPr>
        <w:b/>
        <w:bCs/>
        <w:i/>
      </w:rPr>
      <w:t xml:space="preserve">Лимонова Оксана Андреевна </w:t>
    </w:r>
  </w:p>
  <w:p>
    <w:pPr>
      <w:pStyle w:val="Normal"/>
      <w:jc w:val="both"/>
      <w:rPr>
        <w:b/>
        <w:b/>
        <w:bCs/>
        <w:i/>
        <w:i/>
      </w:rPr>
    </w:pPr>
    <w:r>
      <w:rPr>
        <w:b/>
        <w:bCs/>
        <w:i/>
      </w:rPr>
      <w:t xml:space="preserve"> </w:t>
    </w:r>
    <w:r>
      <w:rPr>
        <w:b/>
        <w:bCs/>
        <w:i/>
      </w:rPr>
      <w:t xml:space="preserve">+7 996 801 16 70, </w:t>
    </w:r>
    <w:r>
      <w:rPr>
        <w:b/>
        <w:i/>
      </w:rPr>
      <w:t xml:space="preserve"> </w:t>
    </w:r>
    <w:hyperlink r:id="rId1">
      <w:r>
        <w:rPr>
          <w:b/>
          <w:i/>
          <w:lang w:val="en-US"/>
        </w:rPr>
        <w:t>limonova</w:t>
      </w:r>
      <w:r>
        <w:rPr>
          <w:b/>
          <w:i/>
        </w:rPr>
        <w:t>@</w:t>
      </w:r>
      <w:r>
        <w:rPr>
          <w:b/>
          <w:i/>
          <w:lang w:val="en-US"/>
        </w:rPr>
        <w:t>caotlider</w:t>
      </w:r>
      <w:r>
        <w:rPr>
          <w:b/>
          <w:i/>
        </w:rPr>
        <w:t>.</w:t>
      </w:r>
      <w:r>
        <w:rPr>
          <w:b/>
          <w:i/>
          <w:lang w:val="en-US"/>
        </w:rPr>
        <w:t>ru</w:t>
      </w:r>
    </w:hyperlink>
  </w:p>
  <w:p>
    <w:pPr>
      <w:pStyle w:val="Normal"/>
      <w:tabs>
        <w:tab w:val="clear" w:pos="708"/>
        <w:tab w:val="center" w:pos="4677" w:leader="none"/>
        <w:tab w:val="right" w:pos="9355" w:leader="none"/>
      </w:tabs>
      <w:rPr>
        <w:i/>
        <w:i/>
      </w:rPr>
    </w:pPr>
    <w:r>
      <w:rPr>
        <w:i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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7cb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3">
    <w:name w:val="Heading 3"/>
    <w:basedOn w:val="Normal"/>
    <w:link w:val="30"/>
    <w:uiPriority w:val="9"/>
    <w:qFormat/>
    <w:rsid w:val="00947cb5"/>
    <w:pPr>
      <w:spacing w:beforeAutospacing="1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Normal"/>
    <w:link w:val="40"/>
    <w:uiPriority w:val="9"/>
    <w:qFormat/>
    <w:rsid w:val="00947cb5"/>
    <w:pPr>
      <w:spacing w:beforeAutospacing="1" w:afterAutospacing="1"/>
      <w:outlineLvl w:val="3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Нижний колонтитул Знак"/>
    <w:basedOn w:val="DefaultParagraphFont"/>
    <w:link w:val="a4"/>
    <w:uiPriority w:val="99"/>
    <w:qFormat/>
    <w:rsid w:val="00947cb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947cb5"/>
    <w:rPr>
      <w:rFonts w:ascii="Tahoma" w:hAnsi="Tahoma" w:eastAsia="Times New Roman" w:cs="Tahoma"/>
      <w:sz w:val="16"/>
      <w:szCs w:val="16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947cb5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947cb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4" w:customStyle="1">
    <w:name w:val="Верхний колонтитул Знак"/>
    <w:basedOn w:val="DefaultParagraphFont"/>
    <w:link w:val="a8"/>
    <w:uiPriority w:val="99"/>
    <w:qFormat/>
    <w:rsid w:val="00180b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d72188"/>
    <w:rPr>
      <w:color w:val="0000FF" w:themeColor="hyperlink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d72188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Footer"/>
    <w:basedOn w:val="Normal"/>
    <w:link w:val="a5"/>
    <w:uiPriority w:val="99"/>
    <w:unhideWhenUsed/>
    <w:rsid w:val="00947cb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947cb5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180b3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99"/>
    <w:qFormat/>
    <w:rsid w:val="00e4633d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e4633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4"/>
      <w:szCs w:val="22"/>
      <w:lang w:eastAsia="zh-CN" w:val="ru-RU" w:bidi="ar-SA"/>
    </w:rPr>
  </w:style>
  <w:style w:type="paragraph" w:styleId="ConsPlusNormal" w:customStyle="1">
    <w:name w:val="ConsPlusNormal"/>
    <w:qFormat/>
    <w:rsid w:val="00e4633d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947cb5"/>
    <w:pPr>
      <w:spacing w:after="0" w:line="240" w:lineRule="auto"/>
    </w:pPr>
    <w:rPr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limonova@caotlider.ru" TargetMode="External"/><Relationship Id="rId6" Type="http://schemas.openxmlformats.org/officeDocument/2006/relationships/hyperlink" Target="mailto:limonova@caotlider.ru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limonova@caotlider.ru" TargetMode="Externa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78193-0971-4ECD-B3D1-5401CFBA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LibreOffice/6.4.7.2$Linux_X86_64 LibreOffice_project/40$Build-2</Application>
  <Pages>5</Pages>
  <Words>1424</Words>
  <Characters>9571</Characters>
  <CharactersWithSpaces>10876</CharactersWithSpaces>
  <Paragraphs>155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2021-01-18T18:24:00Z</dcterms:created>
  <dc:creator>SERGEI-002</dc:creator>
  <dc:description/>
  <dc:language>ru-RU</dc:language>
  <cp:lastModifiedBy>SERGEI-002</cp:lastModifiedBy>
  <cp:lastPrinted>2020-11-09T22:02:00Z</cp:lastPrinted>
  <dcterms:modified xsi:type="dcterms:W3CDTF">2021-04-27T09:01:00Z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